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21" w:rsidRDefault="008E0F21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95"/>
      </w:tblGrid>
      <w:tr w:rsidR="008E0F21" w:rsidTr="00104E71">
        <w:trPr>
          <w:trHeight w:val="1119"/>
        </w:trPr>
        <w:tc>
          <w:tcPr>
            <w:tcW w:w="9195" w:type="dxa"/>
            <w:tcBorders>
              <w:bottom w:val="single" w:sz="4" w:space="0" w:color="auto"/>
            </w:tcBorders>
          </w:tcPr>
          <w:p w:rsidR="008E0F21" w:rsidRPr="00DD26D0" w:rsidRDefault="00DD26D0" w:rsidP="00E85517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35F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ÖZET:</w:t>
            </w:r>
            <w:r w:rsidRPr="00DD26D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85517" w:rsidRPr="00FF5E53">
              <w:rPr>
                <w:rFonts w:ascii="Times New Roman" w:hAnsi="Times New Roman"/>
                <w:sz w:val="24"/>
                <w:szCs w:val="24"/>
              </w:rPr>
              <w:t>399 sayılı KHK'nin (II) sayılı cetvelinde yer alan sözleşmeli personel pozisyonlarında istihdam edilenlerin 657 sayılı Kanunun ek 8 inci maddesi çerçevesinde geçici olarak görevlendiri</w:t>
            </w:r>
            <w:r w:rsidR="008D6F52" w:rsidRPr="00FF5E53">
              <w:rPr>
                <w:rFonts w:ascii="Times New Roman" w:hAnsi="Times New Roman"/>
                <w:sz w:val="24"/>
                <w:szCs w:val="24"/>
              </w:rPr>
              <w:t xml:space="preserve">lemeyeceği ancak Teşebbüsün ilgili olduğu Bakanlıkta 3046 sayılı Kanunun 46 ncı maddesi çerçevesinde geçici görevlendirilmesinin mümkün olduğu </w:t>
            </w:r>
            <w:r w:rsidR="00B22003" w:rsidRPr="00FF5E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hk.</w:t>
            </w:r>
            <w:r w:rsidR="00B2200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22003" w:rsidRPr="00DD26D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D26D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</w:t>
            </w:r>
            <w:r w:rsidR="00E855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12/03/2015</w:t>
            </w:r>
            <w:r w:rsidRPr="00DD26D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  <w:r w:rsidR="00E855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E.1818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E0F21" w:rsidTr="00104E71">
        <w:trPr>
          <w:trHeight w:val="6475"/>
        </w:trPr>
        <w:tc>
          <w:tcPr>
            <w:tcW w:w="9195" w:type="dxa"/>
            <w:tcBorders>
              <w:bottom w:val="single" w:sz="4" w:space="0" w:color="auto"/>
            </w:tcBorders>
          </w:tcPr>
          <w:p w:rsidR="00E85517" w:rsidRPr="00E85517" w:rsidRDefault="00E85517" w:rsidP="00E85517">
            <w:pPr>
              <w:ind w:right="-2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 xml:space="preserve">Ulaştırma, Denizcilik ve Haberleşme Bakanlığı Kaza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İnceleme ve Araştırma Kurulunda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demiryolu kaza ve olaylarının incelenmesine katılmak yapmak üzere üç adet personelinizin geçici olarak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görevlendirilmes</w:t>
            </w:r>
            <w:r>
              <w:rPr>
                <w:rFonts w:ascii="Times New Roman" w:hAnsi="Times New Roman"/>
                <w:sz w:val="24"/>
                <w:szCs w:val="24"/>
              </w:rPr>
              <w:t>inin talep edildiğinden bahisle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, Teşebbüsünüz emrinde 399 sayılı KHK'nin (II) sayılı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cetvelinde yer alan sözleşmeli personelin 657 sayılı Kanunun ek 8 inci maddesi çerçevesinde geçici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olarak görevlendirilip görevlendirilemeyeceği hususunda Başkanlığımızdan görüş talep eden ilgi yazı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incelenmiştir.</w:t>
            </w:r>
          </w:p>
          <w:p w:rsidR="00E85517" w:rsidRPr="00E85517" w:rsidRDefault="00E85517" w:rsidP="00E85517">
            <w:pPr>
              <w:ind w:right="-2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 xml:space="preserve">Bilindiği üzere, 399 sayılı KHK'nin 58 inci maddesinde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"Bu Kanun Hükmünde Kararnamenin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teşebbüs ve bağlı ortaklıklarda uygulanması sırasında birliği sağlamak ve doğacak tereddütleri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gidermekle Devlet Personel Başkanlığı yetkili ve görevlidir.</w:t>
            </w:r>
          </w:p>
          <w:p w:rsidR="00E85517" w:rsidRPr="00E85517" w:rsidRDefault="00E85517" w:rsidP="00E85517">
            <w:pPr>
              <w:ind w:right="-2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>Sözleşmeli personele ilişkin olarak bu Kanun Hükmün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Kararnamede hüküm bulunmayan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hallerde, Devlet Personel Başkanlığının görüşü alınmak kaydıyla 657 sayılı Devlet Memurları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Kanununun ilgili hükümleri uygulanır." hükmü yer almaktadır.</w:t>
            </w:r>
          </w:p>
          <w:p w:rsidR="00E85517" w:rsidRPr="00E85517" w:rsidRDefault="00E85517" w:rsidP="00E85517">
            <w:pPr>
              <w:ind w:right="-2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>Diğer taraftan,06/05/2013 tarihli ve 28639 sayılı Resmi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azete'de yayımlanarak yürürlüğe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giren Ulaştırma, Denizcilik ve Haberleşme Bakanlığı Kaza Araştırma ve İnceleme Kurulu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Yönetmeliğinin 5 inci maddesinin beşinci fıkrasında "Kurulun her bir ulaştırma türü için ihtiyaç duyacağı,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özel yönetmeliklerinde ayrıca tanımlanan kriterlere uygun nitelikteki uzman görevlendirilmesi Bakanlıktan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veya 657 sayılı Kanunun ek 8 inci maddesi hükmüne istinaden Bakanlık bağlı, ilgili ve ilişkili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kuruluşlarından geçici görevlendirme yoluyla yap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ılır." hükmüne yer verilmiştir.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657 sayılı Devlet Memurları Kanunun ek 8 inci maddesinin birinci fıkrasında "Memurlar,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geçici görevlendirme yapmak isteyen kurumun talebi ve çalıştıkları kurumun izni ile diğer kamu kurum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ve kuruluşlarında aşağıda belirtilen şartlarla geçici süreli olarak görevlendirilebilir." denilmiş ve geçici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görevlendiremeye ilişkin şartlar sayılmıştır, anılan maddesin ikinci fıkrasında ise " Birinci fıkrada belirtilen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hâller dışında memurlar, kamu yararı ve hizmet gerekleri sebebiyle ihtiyaç duyulması hâlinde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kurumlarınca, Devlet Personel Başkanlığının uygun görüşü alınarak diğer kamu kurum ve kuruluşlarında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altı aya kadar geçici süreli olarak görevlendirilebilir." hükmüne yer verilmiştir.</w:t>
            </w:r>
          </w:p>
          <w:p w:rsidR="00E85517" w:rsidRPr="00E85517" w:rsidRDefault="00E85517" w:rsidP="00E85517">
            <w:pPr>
              <w:ind w:right="-2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>Mezkur hükmün iki fıkrasında da "memurlar" ifadesine ye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vermek suretiyle düzenlemenin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sadece Devlet memuru statüsünde olan personeli kapsamasının hedeflendiği anlaşılmaktadır.</w:t>
            </w:r>
          </w:p>
          <w:p w:rsidR="00E85517" w:rsidRPr="00E85517" w:rsidRDefault="00E85517" w:rsidP="00E85517">
            <w:pPr>
              <w:ind w:right="-2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>Ayrıca, 3046 sayılı Kanunun 46 ncı maddesinde "Bakanlıklar kendi bağlı ve ilgili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uruluşları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personelinden ihtiyaç duyduklarını yatırım programları ve projelerin hazırlanması gibi konularda 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uzmanlık isteyen işlerde geçici olarak süre ve çalışma konusu belirtilmek şartıyla ve bakanın onayı 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bakanlık merkez teşkilatında görevlendirebilirler. Ancak bu personelin çalışma süresi altı ayı geçemez."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hükmüne yer verilmiştir.</w:t>
            </w:r>
          </w:p>
          <w:p w:rsidR="00E85517" w:rsidRPr="00E85517" w:rsidRDefault="00E85517" w:rsidP="00E85517">
            <w:pPr>
              <w:ind w:right="-2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>Yukarıdaki hüküm ve açıklamalar karşısında,</w:t>
            </w:r>
          </w:p>
          <w:p w:rsidR="00E85517" w:rsidRPr="00E85517" w:rsidRDefault="00E85517" w:rsidP="00E85517">
            <w:pPr>
              <w:pStyle w:val="ListeParagraf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sayılı KHK'nin (II) sayılı cetvelinde yer alan sözleşmeli personelin 657 sayılı Kanunun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ek 8 inci maddesi çerçevesinde geçici olarak görevlendirilmesinin mümkün olmadığı,</w:t>
            </w:r>
          </w:p>
          <w:p w:rsidR="00E85517" w:rsidRPr="00E85517" w:rsidRDefault="00E85517" w:rsidP="00E85517">
            <w:pPr>
              <w:pStyle w:val="ListeParagraf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>Ulaştırma,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Denizcilik ve Haberleşme Bakanlığının ilgili kuruluşu statüsünde olan</w:t>
            </w:r>
          </w:p>
          <w:p w:rsidR="00E85517" w:rsidRPr="00E85517" w:rsidRDefault="00E85517" w:rsidP="00E85517">
            <w:pPr>
              <w:ind w:right="-2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 xml:space="preserve">Teşebbüsünüzde görevli sözleşmeli personelin anılan Kurulda 3046 sayılı Kanunun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 ncı maddesi </w:t>
            </w:r>
            <w:r w:rsidRPr="00E85517">
              <w:rPr>
                <w:rFonts w:ascii="Times New Roman" w:hAnsi="Times New Roman"/>
                <w:sz w:val="24"/>
                <w:szCs w:val="24"/>
              </w:rPr>
              <w:t>çerçevesinde geçici görevlendirilmesinin mümkün olduğu,</w:t>
            </w:r>
          </w:p>
          <w:p w:rsidR="00104E71" w:rsidRDefault="00E85517" w:rsidP="00E8551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7">
              <w:rPr>
                <w:rFonts w:ascii="Times New Roman" w:hAnsi="Times New Roman"/>
                <w:sz w:val="24"/>
                <w:szCs w:val="24"/>
              </w:rPr>
              <w:t>mütalaa edilmektedir.</w:t>
            </w:r>
          </w:p>
        </w:tc>
      </w:tr>
    </w:tbl>
    <w:p w:rsidR="008A2705" w:rsidRPr="008E0F21" w:rsidRDefault="008A2705" w:rsidP="008E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F21" w:rsidRDefault="008E0F21" w:rsidP="008A2705">
      <w:pPr>
        <w:pStyle w:val="ListeParagra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E0F21" w:rsidRPr="008A2705" w:rsidRDefault="008E0F21" w:rsidP="008A2705">
      <w:pPr>
        <w:pStyle w:val="ListeParagra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sectPr w:rsidR="008E0F21" w:rsidRPr="008A2705" w:rsidSect="0070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116"/>
    <w:multiLevelType w:val="hybridMultilevel"/>
    <w:tmpl w:val="348E74AE"/>
    <w:lvl w:ilvl="0" w:tplc="40B250B8">
      <w:start w:val="1"/>
      <w:numFmt w:val="decimal"/>
      <w:lvlText w:val="%1-"/>
      <w:lvlJc w:val="left"/>
      <w:pPr>
        <w:ind w:left="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C8F4807"/>
    <w:multiLevelType w:val="hybridMultilevel"/>
    <w:tmpl w:val="5BF6575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05"/>
    <w:rsid w:val="00014366"/>
    <w:rsid w:val="00104E71"/>
    <w:rsid w:val="001F5B0F"/>
    <w:rsid w:val="004B274D"/>
    <w:rsid w:val="00521A11"/>
    <w:rsid w:val="005312EB"/>
    <w:rsid w:val="0063759F"/>
    <w:rsid w:val="00661C94"/>
    <w:rsid w:val="006D1E52"/>
    <w:rsid w:val="00700208"/>
    <w:rsid w:val="00735FF9"/>
    <w:rsid w:val="007E5A33"/>
    <w:rsid w:val="008A2705"/>
    <w:rsid w:val="008D6F52"/>
    <w:rsid w:val="008E0F21"/>
    <w:rsid w:val="009D79B7"/>
    <w:rsid w:val="00AB69A3"/>
    <w:rsid w:val="00AE517D"/>
    <w:rsid w:val="00B22003"/>
    <w:rsid w:val="00B771AF"/>
    <w:rsid w:val="00D170EB"/>
    <w:rsid w:val="00DD26D0"/>
    <w:rsid w:val="00E735D6"/>
    <w:rsid w:val="00E85517"/>
    <w:rsid w:val="00FB649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05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A2705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8A270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A270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">
    <w:name w:val="nor"/>
    <w:basedOn w:val="Normal"/>
    <w:uiPriority w:val="99"/>
    <w:rsid w:val="008A2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A2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a">
    <w:name w:val="nora"/>
    <w:basedOn w:val="Normal"/>
    <w:uiPriority w:val="99"/>
    <w:rsid w:val="008A2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8A270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A2705"/>
    <w:rPr>
      <w:rFonts w:ascii="Calibri" w:eastAsia="Times New Roman" w:hAnsi="Calibri" w:cs="Times New Roman"/>
      <w:lang w:eastAsia="tr-TR"/>
    </w:rPr>
  </w:style>
  <w:style w:type="character" w:customStyle="1" w:styleId="apple-style-span">
    <w:name w:val="apple-style-span"/>
    <w:basedOn w:val="VarsaylanParagrafYazTipi"/>
    <w:uiPriority w:val="99"/>
    <w:rsid w:val="008A2705"/>
    <w:rPr>
      <w:rFonts w:cs="Times New Roman"/>
    </w:rPr>
  </w:style>
  <w:style w:type="table" w:styleId="TabloKlavuzu">
    <w:name w:val="Table Grid"/>
    <w:basedOn w:val="NormalTablo"/>
    <w:uiPriority w:val="59"/>
    <w:rsid w:val="008E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05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A2705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8A270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A270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">
    <w:name w:val="nor"/>
    <w:basedOn w:val="Normal"/>
    <w:uiPriority w:val="99"/>
    <w:rsid w:val="008A2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A2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a">
    <w:name w:val="nora"/>
    <w:basedOn w:val="Normal"/>
    <w:uiPriority w:val="99"/>
    <w:rsid w:val="008A2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8A270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A2705"/>
    <w:rPr>
      <w:rFonts w:ascii="Calibri" w:eastAsia="Times New Roman" w:hAnsi="Calibri" w:cs="Times New Roman"/>
      <w:lang w:eastAsia="tr-TR"/>
    </w:rPr>
  </w:style>
  <w:style w:type="character" w:customStyle="1" w:styleId="apple-style-span">
    <w:name w:val="apple-style-span"/>
    <w:basedOn w:val="VarsaylanParagrafYazTipi"/>
    <w:uiPriority w:val="99"/>
    <w:rsid w:val="008A2705"/>
    <w:rPr>
      <w:rFonts w:cs="Times New Roman"/>
    </w:rPr>
  </w:style>
  <w:style w:type="table" w:styleId="TabloKlavuzu">
    <w:name w:val="Table Grid"/>
    <w:basedOn w:val="NormalTablo"/>
    <w:uiPriority w:val="59"/>
    <w:rsid w:val="008E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Aydın</dc:creator>
  <cp:lastModifiedBy>Nezir Kardoğan</cp:lastModifiedBy>
  <cp:revision>2</cp:revision>
  <dcterms:created xsi:type="dcterms:W3CDTF">2015-04-28T20:26:00Z</dcterms:created>
  <dcterms:modified xsi:type="dcterms:W3CDTF">2015-04-28T20:26:00Z</dcterms:modified>
</cp:coreProperties>
</file>